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5365" w:rsidRDefault="00C6245D">
      <w:pPr>
        <w:spacing w:after="0" w:line="240" w:lineRule="auto"/>
        <w:ind w:left="238" w:firstLine="0"/>
        <w:jc w:val="left"/>
      </w:pPr>
      <w:r>
        <w:rPr>
          <w:rFonts w:ascii="Arial" w:eastAsia="Arial" w:hAnsi="Arial" w:cs="Arial"/>
          <w:b/>
        </w:rPr>
        <w:t xml:space="preserve">CUADERNO DE TRABAJO PARA LA LABOR EXTENSIONISTA DE LOS </w:t>
      </w:r>
    </w:p>
    <w:p w:rsidR="00B45365" w:rsidRDefault="00C6245D">
      <w:pPr>
        <w:spacing w:after="0" w:line="240" w:lineRule="auto"/>
        <w:ind w:left="0" w:firstLine="0"/>
        <w:jc w:val="center"/>
      </w:pPr>
      <w:r>
        <w:rPr>
          <w:rFonts w:ascii="Arial" w:eastAsia="Arial" w:hAnsi="Arial" w:cs="Arial"/>
          <w:b/>
        </w:rPr>
        <w:t xml:space="preserve">PROFESIONALES DE LA ESPECIALIDAD AGROPECUARIA </w:t>
      </w:r>
    </w:p>
    <w:p w:rsidR="00B45365" w:rsidRDefault="00C6245D">
      <w:pPr>
        <w:spacing w:after="0" w:line="240" w:lineRule="auto"/>
        <w:ind w:left="0" w:firstLine="0"/>
        <w:jc w:val="center"/>
      </w:pPr>
      <w:r>
        <w:rPr>
          <w:rFonts w:ascii="Arial" w:eastAsia="Arial" w:hAnsi="Arial" w:cs="Arial"/>
          <w:b/>
        </w:rPr>
        <w:t xml:space="preserve"> </w:t>
      </w:r>
    </w:p>
    <w:p w:rsidR="00B45365" w:rsidRDefault="00C6245D">
      <w:pPr>
        <w:spacing w:after="135" w:line="240" w:lineRule="auto"/>
        <w:ind w:right="-15"/>
        <w:jc w:val="left"/>
      </w:pPr>
      <w:r>
        <w:rPr>
          <w:rFonts w:ascii="Arial" w:eastAsia="Arial" w:hAnsi="Arial" w:cs="Arial"/>
        </w:rPr>
        <w:t xml:space="preserve">Autores: </w:t>
      </w:r>
    </w:p>
    <w:p w:rsidR="00B45365" w:rsidRDefault="00C6245D">
      <w:pPr>
        <w:spacing w:after="135" w:line="240" w:lineRule="auto"/>
        <w:ind w:right="-15"/>
        <w:jc w:val="left"/>
      </w:pPr>
      <w:r>
        <w:rPr>
          <w:rFonts w:ascii="Arial" w:eastAsia="Arial" w:hAnsi="Arial" w:cs="Arial"/>
        </w:rPr>
        <w:t xml:space="preserve">Martín Santos, Teresita Marina (MsC.) </w:t>
      </w:r>
      <w:r>
        <w:rPr>
          <w:rFonts w:ascii="Arial" w:eastAsia="Arial" w:hAnsi="Arial" w:cs="Arial"/>
          <w:vertAlign w:val="superscript"/>
        </w:rPr>
        <w:t>a</w:t>
      </w:r>
      <w:r>
        <w:rPr>
          <w:rFonts w:ascii="Arial" w:eastAsia="Arial" w:hAnsi="Arial" w:cs="Arial"/>
        </w:rPr>
        <w:t>; correo electrónico: teresa</w:t>
      </w:r>
      <w:r>
        <w:rPr>
          <w:rFonts w:ascii="Arial" w:eastAsia="Arial" w:hAnsi="Arial" w:cs="Arial"/>
          <w:color w:val="0000FF"/>
          <w:u w:val="single" w:color="0000FF"/>
        </w:rPr>
        <w:t>@uclv.cu</w:t>
      </w:r>
      <w:r>
        <w:rPr>
          <w:rFonts w:ascii="Arial" w:eastAsia="Arial" w:hAnsi="Arial" w:cs="Arial"/>
        </w:rPr>
        <w:t xml:space="preserve">, </w:t>
      </w:r>
    </w:p>
    <w:p w:rsidR="00B45365" w:rsidRDefault="00C6245D">
      <w:pPr>
        <w:spacing w:after="297" w:line="317" w:lineRule="auto"/>
        <w:ind w:right="2652"/>
        <w:jc w:val="left"/>
      </w:pPr>
      <w:r>
        <w:rPr>
          <w:rFonts w:ascii="Arial" w:eastAsia="Arial" w:hAnsi="Arial" w:cs="Arial"/>
        </w:rPr>
        <w:t xml:space="preserve">Alfonso Carrandi, Jesús de la Caridad (MsC.) </w:t>
      </w:r>
      <w:r>
        <w:rPr>
          <w:rFonts w:ascii="Arial" w:eastAsia="Arial" w:hAnsi="Arial" w:cs="Arial"/>
          <w:vertAlign w:val="superscript"/>
        </w:rPr>
        <w:t>b</w:t>
      </w:r>
      <w:r>
        <w:rPr>
          <w:rFonts w:ascii="Arial" w:eastAsia="Arial" w:hAnsi="Arial" w:cs="Arial"/>
        </w:rPr>
        <w:t xml:space="preserve"> Alfonso Serafín, Alicia C (DrC.) </w:t>
      </w:r>
      <w:r>
        <w:rPr>
          <w:rFonts w:ascii="Arial" w:eastAsia="Arial" w:hAnsi="Arial" w:cs="Arial"/>
          <w:vertAlign w:val="superscript"/>
        </w:rPr>
        <w:t xml:space="preserve">c </w:t>
      </w:r>
      <w:r>
        <w:rPr>
          <w:b/>
          <w:i/>
          <w:sz w:val="21"/>
          <w:vertAlign w:val="superscript"/>
        </w:rPr>
        <w:t xml:space="preserve"> </w:t>
      </w:r>
    </w:p>
    <w:p w:rsidR="00B45365" w:rsidRDefault="00C6245D">
      <w:pPr>
        <w:spacing w:after="252" w:line="240" w:lineRule="auto"/>
        <w:ind w:left="0" w:firstLine="0"/>
        <w:jc w:val="left"/>
      </w:pPr>
      <w:r>
        <w:rPr>
          <w:b/>
          <w:i/>
          <w:sz w:val="22"/>
          <w:vertAlign w:val="superscript"/>
        </w:rPr>
        <w:t>a, b, c, d</w:t>
      </w:r>
      <w:r>
        <w:rPr>
          <w:b/>
          <w:i/>
          <w:sz w:val="22"/>
        </w:rPr>
        <w:t xml:space="preserve"> Universidad Central “Marta Abreu” de Las Villas, Santa Clara, Cuba.</w:t>
      </w:r>
      <w:r>
        <w:rPr>
          <w:b/>
        </w:rPr>
        <w:t xml:space="preserve"> </w:t>
      </w:r>
    </w:p>
    <w:p w:rsidR="00B45365" w:rsidRDefault="00C6245D">
      <w:pPr>
        <w:spacing w:after="261" w:line="246" w:lineRule="auto"/>
        <w:jc w:val="left"/>
      </w:pPr>
      <w:r>
        <w:rPr>
          <w:b/>
        </w:rPr>
        <w:t>RESUMEN</w:t>
      </w:r>
      <w:r>
        <w:t xml:space="preserve"> </w:t>
      </w:r>
    </w:p>
    <w:p w:rsidR="00B45365" w:rsidRDefault="00C6245D">
      <w:r>
        <w:t xml:space="preserve">Para lograr una sostenibilidad en el sector agropecuario, la provincia de Villa Clara  trabaja incansablemente, para lo cual se hace necesario la formación de un profesional de la rama agropecuaria consciente de la importancia de su implicación en este proceso. Dentro del sector educacional es de vital importancia la formación de profesionales de esta rama, los cuales le toca a su vez preparar la fuerza técnica y calificada de sector agropecuario, para esto se tendrá en cuenta la labor extensionista que desempeñarán para el logro de una agricultura sostenible.  </w:t>
      </w:r>
    </w:p>
    <w:p w:rsidR="00B45365" w:rsidRDefault="00C6245D">
      <w:r>
        <w:t xml:space="preserve">Teniendo en cuenta el diagnóstico de la situación actual de los profesionales en formación de la rama agropecuaria, pertenecientes a la provincia Villa Clara, donde se pudo constatar  desconocimiento en las temáticas referentes a la educación agropecuaria y por consiguiente en extensionismo agrario, se elaboró un libro titulado “La educación agropecuaria en la escuela cubana actual”, su introducción,  posibilitó una mejor formación del futuro docente para la labor extensionista.  </w:t>
      </w:r>
    </w:p>
    <w:p w:rsidR="00B45365" w:rsidRDefault="00C6245D">
      <w:r>
        <w:t xml:space="preserve">La utilización de métodos científicos posibilitó la elaboración de un cuaderno de trabajo que permita la preparación y realización de actividades metodológicas teóricas y prácticas con fines extensionista.  El mismo tiene como rasgo distintivo el nivel de aplicabilidad y generalización ya que permite contribuir a la mejor calidad en la formación de maestros primarios y futuros licenciados, en el tratamiento de la educación agropecuaria y la labor extensionista.   </w:t>
      </w:r>
      <w:r>
        <w:rPr>
          <w:b/>
        </w:rPr>
        <w:t xml:space="preserve"> </w:t>
      </w:r>
    </w:p>
    <w:p w:rsidR="00B45365" w:rsidRDefault="00C6245D">
      <w:r>
        <w:rPr>
          <w:b/>
        </w:rPr>
        <w:t>Palabras claves</w:t>
      </w:r>
      <w:r>
        <w:t xml:space="preserve">: labor extensionista, formación profesional, educación agropecuaria </w:t>
      </w:r>
      <w:r>
        <w:rPr>
          <w:b/>
        </w:rPr>
        <w:t xml:space="preserve"> </w:t>
      </w:r>
    </w:p>
    <w:p w:rsidR="00B45365" w:rsidRPr="00C6245D" w:rsidRDefault="00C6245D">
      <w:pPr>
        <w:spacing w:after="0" w:line="350" w:lineRule="auto"/>
        <w:jc w:val="left"/>
        <w:rPr>
          <w:lang w:val="en-US"/>
        </w:rPr>
      </w:pPr>
      <w:r w:rsidRPr="00C6245D">
        <w:rPr>
          <w:b/>
          <w:lang w:val="en-US"/>
        </w:rPr>
        <w:t xml:space="preserve">WORK BOOK TO CONTRIBUTE TO THE EXTENSION WORK OF PROFESSIONAL AGRICULTURAL SPECIALTY. </w:t>
      </w:r>
    </w:p>
    <w:p w:rsidR="00B45365" w:rsidRPr="00C6245D" w:rsidRDefault="00C6245D">
      <w:pPr>
        <w:spacing w:after="133" w:line="246" w:lineRule="auto"/>
        <w:jc w:val="left"/>
        <w:rPr>
          <w:lang w:val="en-US"/>
        </w:rPr>
      </w:pPr>
      <w:r w:rsidRPr="00C6245D">
        <w:rPr>
          <w:b/>
          <w:lang w:val="en-US"/>
        </w:rPr>
        <w:t>ABSTRACT</w:t>
      </w:r>
      <w:r w:rsidRPr="00C6245D">
        <w:rPr>
          <w:lang w:val="en-US"/>
        </w:rPr>
        <w:t xml:space="preserve"> </w:t>
      </w:r>
    </w:p>
    <w:p w:rsidR="00B45365" w:rsidRPr="00C6245D" w:rsidRDefault="00C6245D">
      <w:pPr>
        <w:rPr>
          <w:lang w:val="en-US"/>
        </w:rPr>
      </w:pPr>
      <w:r w:rsidRPr="00C6245D">
        <w:rPr>
          <w:lang w:val="en-US"/>
        </w:rPr>
        <w:t xml:space="preserve">To achieve a sustainability in the agricultural sector, the county of Villa Clara works unfailingly, for that which becomes necessary the formation of a professional of the agricultural branch aware of the importance of her implication in this process. Inside the educational sector it is of vital importance the formation of professionals of this branch, which plays him in turn to prepare the technical and qualified force of agricultural sector, for this one will keep in mind the work extension that you/they will carry out for the achievement of a sustainable agriculture.    </w:t>
      </w:r>
    </w:p>
    <w:p w:rsidR="00B45365" w:rsidRPr="00C6245D" w:rsidRDefault="00C6245D">
      <w:pPr>
        <w:rPr>
          <w:lang w:val="en-US"/>
        </w:rPr>
      </w:pPr>
      <w:r w:rsidRPr="00C6245D">
        <w:rPr>
          <w:lang w:val="en-US"/>
        </w:rPr>
        <w:t xml:space="preserve">Keeping in mind the diagnosis of the current situation of the professionals in formation of the agricultural branch, belonging to the county Villa Clara, where you could verify ignorance in the thematic ones relating to the agricultural education and consequently in agrarian extensionismo, a titled book was elaborated "The agricultural education in the current Cuban school", its introduction, facilitated a better formation of the educational future for the work extension.    </w:t>
      </w:r>
    </w:p>
    <w:p w:rsidR="00B45365" w:rsidRPr="00C6245D" w:rsidRDefault="00C6245D">
      <w:pPr>
        <w:rPr>
          <w:lang w:val="en-US"/>
        </w:rPr>
      </w:pPr>
      <w:r w:rsidRPr="00C6245D">
        <w:rPr>
          <w:lang w:val="en-US"/>
        </w:rPr>
        <w:t xml:space="preserve">The use of scientific methods facilitated the elaboration of a work notebook that allows the preparation and realization of theoretical and practical methodological activities with ends extension.  The same one has like distinctive feature the level of applicability and generalization since allows to contribute to the best quality in the formation of primary teachers and graduated futures, in the treatment of the agricultural education and the work extension.      </w:t>
      </w:r>
    </w:p>
    <w:p w:rsidR="00B45365" w:rsidRPr="00C6245D" w:rsidRDefault="00C6245D">
      <w:pPr>
        <w:rPr>
          <w:lang w:val="en-US"/>
        </w:rPr>
      </w:pPr>
      <w:r w:rsidRPr="00C6245D">
        <w:rPr>
          <w:lang w:val="en-US"/>
        </w:rPr>
        <w:t xml:space="preserve">Key words: </w:t>
      </w:r>
      <w:bookmarkStart w:id="0" w:name="_GoBack"/>
      <w:r w:rsidRPr="00C6245D">
        <w:rPr>
          <w:lang w:val="en-US"/>
        </w:rPr>
        <w:t xml:space="preserve">work extension, professional formation, agricultural education   </w:t>
      </w:r>
      <w:r w:rsidRPr="00C6245D">
        <w:rPr>
          <w:b/>
          <w:lang w:val="en-US"/>
        </w:rPr>
        <w:t xml:space="preserve"> </w:t>
      </w:r>
    </w:p>
    <w:bookmarkEnd w:id="0"/>
    <w:p w:rsidR="00B45365" w:rsidRDefault="00C6245D">
      <w:pPr>
        <w:spacing w:after="261" w:line="246" w:lineRule="auto"/>
        <w:jc w:val="left"/>
      </w:pPr>
      <w:r>
        <w:rPr>
          <w:b/>
        </w:rPr>
        <w:t>INTRODUCCIÓN:</w:t>
      </w:r>
      <w:r>
        <w:t xml:space="preserve"> </w:t>
      </w:r>
    </w:p>
    <w:p w:rsidR="00B45365" w:rsidRDefault="00C6245D">
      <w:r>
        <w:t xml:space="preserve">En el informe central del Tercer Congreso del PCC el Comandante en Jefe Fidel Castro enfatizó en elevar la calidad de la Educación en el quinquenio para poder dar respuesta a la exigencia de la construcción del socialismo en nuestro país, a tal efecto el congreso hizo suyas estas palabras y aprobó entre los principales temas a desarrollar en este período, que la educación en su conjunto debe seguir incrementando la calidad en el proceso docente educativo. (Informe del III Congreso del PCC, 1990) </w:t>
      </w:r>
    </w:p>
    <w:p w:rsidR="00B45365" w:rsidRDefault="00C6245D">
      <w:pPr>
        <w:spacing w:after="0"/>
      </w:pPr>
      <w:r>
        <w:t xml:space="preserve">El pronunciamiento del Comandante en el tercer Congreso del PCC constituyó una prioridad de trabajo para la dirección de nuestro país  en momentos que nuestra nación atraviesa por un bloqueo más recrudecido, implantado por el imperialismo para asfixiar la Revolución Cubana y nos hace carecer de los medios necesarios para la educación.  </w:t>
      </w:r>
    </w:p>
    <w:p w:rsidR="00B45365" w:rsidRDefault="00C6245D">
      <w:r>
        <w:t xml:space="preserve">En los momentos actuales; a partir de los cambios en la política económica y social y en respuesta a los lineamientos del VI congreso del PCC, Cuba desarrolla transformaciones en su sistema educacional, poniendo en vigor el lineamiento 146, el cual plantea: formar con calidad y rigor el personal docente en los centros educativos de los diferentes niveles de enseñanza y el 152 con la actualización de los programas de formación  e información de las universidades, en función de las necesidades del desarrollo económico y social del país y de las nuevas tecnologías, incrementando las matrículas en carreras agropecuarias, pedagógicas, tecnológicas y de ciencias básicas afines. </w:t>
      </w:r>
    </w:p>
    <w:p w:rsidR="00B45365" w:rsidRDefault="00C6245D">
      <w:r>
        <w:t xml:space="preserve">De lo anterior se infiere la necesidad de contar con docentes creadores, capaces de asumir este reto y  dar lo máximo por ser más eficientes, más útiles a su país, por impartir una enseñanza más beneficiosa, trasmitiendo conocimientos de las ciencias agropecuarias, esto impone mayores retos en la adecuación de planes de estudios sistematizando el enfoque sostenible, elaboración de medios de enseñanza aplicando las tecnologías de la información y la comunicación (TIC) para una mejor preparación de los docentes en formación, así como fomentar el cuidado del medio ambiente y la mentalidad de productor para realizar labor extensionista. </w:t>
      </w:r>
    </w:p>
    <w:p w:rsidR="00B45365" w:rsidRDefault="00C6245D">
      <w:r>
        <w:t>Atendiendo a lo anterior, se elaboró un libro para el tratamiento de la Educación Agropecuaria en respuesta a las exigencias de los planes de estudio que incorporan una nueva asignatura para las escuelas pedagógicas y las carreras de licenciatura en educación cuyo objetivo responde a los lineamientos del partido referidos a la conciencia de productor, el rescate de las tradiciones rurales, así como temas de extensionismo, para transmitirla a sus estudiantes. Por todo lo anterior  se plantea como objetivo del presente trabajo elaborar un cuaderno de trabajo para la realización de actividades metodológicas teóricas y prácticas  en el componente laboral-investigativo.</w:t>
      </w:r>
      <w:r>
        <w:rPr>
          <w:b/>
        </w:rPr>
        <w:t xml:space="preserve"> </w:t>
      </w:r>
    </w:p>
    <w:p w:rsidR="00B45365" w:rsidRDefault="00C6245D">
      <w:pPr>
        <w:spacing w:after="261" w:line="246" w:lineRule="auto"/>
        <w:jc w:val="left"/>
      </w:pPr>
      <w:r>
        <w:rPr>
          <w:b/>
        </w:rPr>
        <w:t>Materiales y Métodos</w:t>
      </w:r>
      <w:r>
        <w:t xml:space="preserve"> </w:t>
      </w:r>
    </w:p>
    <w:p w:rsidR="00B45365" w:rsidRDefault="00C6245D">
      <w:pPr>
        <w:spacing w:after="0"/>
      </w:pPr>
      <w:r>
        <w:t xml:space="preserve">Se efectuó un análisis de los contenidos referentes a los temas, sobre la educación agropecuaria  que aparecen en los textos disponibles en la formación del profesional de la educación, que son de interés en el trabajo, corroborando la carencia de textos que posibiliten el tratamiento didáctico de los contenidos referentes a la rama agropecuaria, siendo entre otras causas, la no presencia de asignaturas en los currículos de los planes de estudio para la formación del licenciado y del maestro primario, lo que trajo consigo el insuficiente tratamiento de la  educación agropecuaria y de la labor extensionista.     </w:t>
      </w:r>
    </w:p>
    <w:p w:rsidR="00B45365" w:rsidRDefault="00C6245D">
      <w:r>
        <w:t xml:space="preserve">Se emplearon métodos teóricos como el enfoque de sistema y el método histórico lógico para constatar el tratamiento que recibe la educación agropecuaria desde las enseñanzas primaria, secundaria y nivel medio superior. Arribando al análisis de su pertinencia acorde a las actuales transformaciones sociales y su repercusión en la educación. </w:t>
      </w:r>
    </w:p>
    <w:p w:rsidR="00B45365" w:rsidRDefault="00C6245D">
      <w:r>
        <w:t xml:space="preserve">Por otra parte, la revisión documental de los textos con contenidos relativos a la Educación Agropecuaria se comprobó el grado de desactualización y dispersión que presentan los mismos respecto al tema, así su variedad. Los libros con que se cuenta reflejan por lo general los avances científico - técnicos que en el sector agropecuario se registraban en los años de la década comprendida entre 1980-1989 con insuficiente visión de sostenibilidad y valor en el extensionismo. Todo lo anterior reafirma el carácter de textos no idóneos con que se cuentan en la actualidad para la correcta preparación de docentes en formación. </w:t>
      </w:r>
      <w:r>
        <w:rPr>
          <w:b/>
        </w:rPr>
        <w:t xml:space="preserve"> </w:t>
      </w:r>
    </w:p>
    <w:p w:rsidR="00B45365" w:rsidRDefault="00C6245D">
      <w:pPr>
        <w:spacing w:after="261" w:line="246" w:lineRule="auto"/>
        <w:jc w:val="left"/>
      </w:pPr>
      <w:r>
        <w:rPr>
          <w:b/>
        </w:rPr>
        <w:t>Resultados y discusión</w:t>
      </w:r>
      <w:r>
        <w:t xml:space="preserve"> </w:t>
      </w:r>
    </w:p>
    <w:p w:rsidR="00B45365" w:rsidRDefault="00C6245D">
      <w:r>
        <w:t xml:space="preserve">Se elabora un cuaderno de trabajo con actividades metodológicas teórico-prácticas referentes a los temas que aparecen en los textos de que se dispone y un libro elaborado por un colectivo de investigadores que actualiza la educación agropecuaria en la escuela cubana actual, con enfoque de sostenibilidad y de labor extensionista. </w:t>
      </w:r>
    </w:p>
    <w:p w:rsidR="00B45365" w:rsidRDefault="00C6245D">
      <w:r>
        <w:t xml:space="preserve">Su uso por parte de los docentes en formación es de gran utilidad en su práctica responsable, constituyendo conjuntamente con el libro los medios de enseñanza básicos para el logro de los objetivos instructivos y educativos encaminados a la integralidad de la personalidad. </w:t>
      </w:r>
    </w:p>
    <w:p w:rsidR="00B45365" w:rsidRDefault="00C6245D">
      <w:r>
        <w:t xml:space="preserve">Atendiendo a las carencias antes dichas, el cuaderno resulta de utilidad dado que organiza didácticamente los contenidos agropecuarios en respuesta a las demandas de los planes de estudio. A continuación se enuncian los temas  en correspondencia con el libro “La educación agropecuaria en la escuela cubana actual” Tema 1: ¿Qué agricultura estamos haciendo? </w:t>
      </w:r>
    </w:p>
    <w:p w:rsidR="00B45365" w:rsidRDefault="00C6245D">
      <w:r>
        <w:t xml:space="preserve">Tema 2: La Seguridad alimentaria. Un reto para la escuela cubana actual. </w:t>
      </w:r>
    </w:p>
    <w:p w:rsidR="00B45365" w:rsidRDefault="00C6245D">
      <w:r>
        <w:t xml:space="preserve">Tema 3: Manejo sostenible de la tierra. </w:t>
      </w:r>
    </w:p>
    <w:p w:rsidR="00B45365" w:rsidRDefault="00C6245D">
      <w:r>
        <w:t xml:space="preserve">Tema 4: El biogás, una alternativa energética valiosa para Cuba. </w:t>
      </w:r>
    </w:p>
    <w:p w:rsidR="00B45365" w:rsidRDefault="00C6245D">
      <w:pPr>
        <w:spacing w:after="0" w:line="240" w:lineRule="auto"/>
      </w:pPr>
      <w:r>
        <w:t xml:space="preserve">Tema 5: Agricultura sostenible, una visión para la escuela cubana. </w:t>
      </w:r>
    </w:p>
    <w:p w:rsidR="00B45365" w:rsidRDefault="00C6245D">
      <w:r>
        <w:t xml:space="preserve">Tema 6: Las prácticas agropecuarias como parte de la formación laboral. </w:t>
      </w:r>
    </w:p>
    <w:p w:rsidR="00B45365" w:rsidRDefault="00C6245D">
      <w:r>
        <w:t xml:space="preserve">Tema 7: La industria rural: una alternativa para la seguridad alimentaria en Cuba. </w:t>
      </w:r>
    </w:p>
    <w:p w:rsidR="00B45365" w:rsidRDefault="00C6245D">
      <w:r>
        <w:t xml:space="preserve">Tema 8: El extensionismo agrario como parte del trabajo comunitario de la escuela. </w:t>
      </w:r>
    </w:p>
    <w:p w:rsidR="00B45365" w:rsidRDefault="00C6245D">
      <w:r>
        <w:t xml:space="preserve">Tema 9: Manejo agroecológico del ecosistema. </w:t>
      </w:r>
    </w:p>
    <w:p w:rsidR="00B45365" w:rsidRDefault="00C6245D">
      <w:r>
        <w:t xml:space="preserve">Tema 10: Los huertos escolares como áreas experimentales desde la escuela. </w:t>
      </w:r>
    </w:p>
    <w:p w:rsidR="00B45365" w:rsidRDefault="00C6245D">
      <w:r>
        <w:t xml:space="preserve">Tema 11: Hacia buenas prácticas agrícolas. </w:t>
      </w:r>
    </w:p>
    <w:p w:rsidR="00B45365" w:rsidRDefault="00C6245D">
      <w:r>
        <w:t xml:space="preserve">Tema 12: Principales cultivos. </w:t>
      </w:r>
    </w:p>
    <w:p w:rsidR="00B45365" w:rsidRDefault="00C6245D">
      <w:pPr>
        <w:spacing w:after="135" w:line="240" w:lineRule="auto"/>
      </w:pPr>
      <w:r>
        <w:t xml:space="preserve">Tema13: Tradiciones agroecológicas recopiladas de la experiencia campesina. </w:t>
      </w:r>
    </w:p>
    <w:p w:rsidR="00B45365" w:rsidRDefault="00C6245D">
      <w:pPr>
        <w:ind w:left="1090"/>
      </w:pPr>
      <w:r>
        <w:t>Refranero popular.</w:t>
      </w:r>
      <w:r>
        <w:rPr>
          <w:b/>
        </w:rPr>
        <w:t xml:space="preserve"> </w:t>
      </w:r>
    </w:p>
    <w:p w:rsidR="00B45365" w:rsidRDefault="00C6245D">
      <w:pPr>
        <w:spacing w:after="261" w:line="246" w:lineRule="auto"/>
        <w:jc w:val="left"/>
      </w:pPr>
      <w:r>
        <w:rPr>
          <w:b/>
        </w:rPr>
        <w:t>El cuaderno de trabajo cumple con las siguientes expectativas:</w:t>
      </w:r>
      <w:r>
        <w:t xml:space="preserve"> </w:t>
      </w:r>
    </w:p>
    <w:p w:rsidR="00B45365" w:rsidRDefault="00C6245D">
      <w:pPr>
        <w:numPr>
          <w:ilvl w:val="0"/>
          <w:numId w:val="1"/>
        </w:numPr>
        <w:ind w:hanging="360"/>
      </w:pPr>
      <w:r>
        <w:t xml:space="preserve">Propiciar una efectiva autopreparación de los docentes en formación que recibirán estos contenidos agropecuarios. </w:t>
      </w:r>
    </w:p>
    <w:p w:rsidR="00B45365" w:rsidRDefault="00C6245D">
      <w:pPr>
        <w:numPr>
          <w:ilvl w:val="0"/>
          <w:numId w:val="1"/>
        </w:numPr>
        <w:ind w:hanging="360"/>
      </w:pPr>
      <w:r>
        <w:t xml:space="preserve">Contribuir a la educación ambiental y labor extensionista, del docente en formación a través de la preparación en con los contenidos de agropecuaria reflejados en el libro y cuaderno de trabajo. </w:t>
      </w:r>
    </w:p>
    <w:p w:rsidR="00B45365" w:rsidRDefault="00C6245D">
      <w:pPr>
        <w:numPr>
          <w:ilvl w:val="0"/>
          <w:numId w:val="1"/>
        </w:numPr>
        <w:ind w:hanging="360"/>
      </w:pPr>
      <w:r>
        <w:t xml:space="preserve">Contribuir a la formación dialéctica materialista de los docentes en formación a partir de una adecuada actualización de los contenidos que aparecen en el mismo. </w:t>
      </w:r>
    </w:p>
    <w:p w:rsidR="00B45365" w:rsidRDefault="00C6245D">
      <w:pPr>
        <w:numPr>
          <w:ilvl w:val="0"/>
          <w:numId w:val="1"/>
        </w:numPr>
        <w:ind w:hanging="360"/>
      </w:pPr>
      <w:r>
        <w:t xml:space="preserve">Propiciar el trabajo individual de los docentes en formación a partir de los contenidos del cuaderno de trabajo que puedan  servirles de consulta bajo la guía del profesor. </w:t>
      </w:r>
    </w:p>
    <w:p w:rsidR="00B45365" w:rsidRDefault="00C6245D">
      <w:pPr>
        <w:numPr>
          <w:ilvl w:val="0"/>
          <w:numId w:val="1"/>
        </w:numPr>
        <w:ind w:hanging="360"/>
      </w:pPr>
      <w:r>
        <w:t xml:space="preserve">Brindar elementos que permitan una mayor motivación de los docentes en formación hacia los contenidos agropecuarios para la labor extensionista. </w:t>
      </w:r>
    </w:p>
    <w:p w:rsidR="00B45365" w:rsidRDefault="00C6245D">
      <w:pPr>
        <w:numPr>
          <w:ilvl w:val="0"/>
          <w:numId w:val="1"/>
        </w:numPr>
        <w:ind w:hanging="360"/>
      </w:pPr>
      <w:r>
        <w:t xml:space="preserve">Garantizar el aprovechamiento de las horas clases que se les asignan a los temas referentes a la educación agropecuaria para la labor extensionista. </w:t>
      </w:r>
    </w:p>
    <w:p w:rsidR="00B45365" w:rsidRDefault="00C6245D">
      <w:pPr>
        <w:numPr>
          <w:ilvl w:val="0"/>
          <w:numId w:val="1"/>
        </w:numPr>
        <w:ind w:hanging="360"/>
      </w:pPr>
      <w:r>
        <w:t>Brindar una metodología  lógica  que vaya  de lo simple a lo complejo.</w:t>
      </w:r>
      <w:r>
        <w:rPr>
          <w:sz w:val="22"/>
        </w:rPr>
        <w:t xml:space="preserve"> </w:t>
      </w:r>
    </w:p>
    <w:p w:rsidR="00B45365" w:rsidRDefault="00C6245D">
      <w:pPr>
        <w:pStyle w:val="Ttulo1"/>
      </w:pPr>
      <w:r>
        <w:t>Los objetivos fundamentales del cuaderno de trabajo son:</w:t>
      </w:r>
      <w:r>
        <w:rPr>
          <w:b w:val="0"/>
        </w:rPr>
        <w:t xml:space="preserve"> </w:t>
      </w:r>
    </w:p>
    <w:p w:rsidR="00B45365" w:rsidRDefault="00C6245D">
      <w:pPr>
        <w:numPr>
          <w:ilvl w:val="0"/>
          <w:numId w:val="2"/>
        </w:numPr>
        <w:spacing w:after="0" w:line="349" w:lineRule="auto"/>
        <w:ind w:hanging="427"/>
      </w:pPr>
      <w:r>
        <w:rPr>
          <w:sz w:val="22"/>
        </w:rPr>
        <w:t>Recopilar datos técnicos e información actualizada del contenido para sustituir los que se encuentran  dispersos y desactualizados en su generalidad existentes en el territorio.</w:t>
      </w:r>
      <w:r>
        <w:rPr>
          <w:b/>
        </w:rPr>
        <w:t xml:space="preserve"> </w:t>
      </w:r>
    </w:p>
    <w:p w:rsidR="00B45365" w:rsidRDefault="00C6245D">
      <w:pPr>
        <w:numPr>
          <w:ilvl w:val="0"/>
          <w:numId w:val="2"/>
        </w:numPr>
        <w:ind w:hanging="427"/>
      </w:pPr>
      <w:r>
        <w:t xml:space="preserve">Ofrecer los contenidos teóricos y prácticos de las diferentes temáticas de manera tal que sea totalmente asequible para los docentes en formación en su preparación  y de esta forma contribuir a una mejor comprensión de los contenidos agropecuarios y puedan desarrollar la labor extensionista en su desempeño profesional de forma correcta. </w:t>
      </w:r>
    </w:p>
    <w:p w:rsidR="00B45365" w:rsidRDefault="00C6245D">
      <w:pPr>
        <w:numPr>
          <w:ilvl w:val="0"/>
          <w:numId w:val="2"/>
        </w:numPr>
        <w:ind w:hanging="427"/>
      </w:pPr>
      <w:r>
        <w:t xml:space="preserve">Propiciar el trabajo independiente de los docentes en formación al hacer uso del cuaderno de trabajo como vía metodológica en apoyo a la docencia. </w:t>
      </w:r>
    </w:p>
    <w:p w:rsidR="00B45365" w:rsidRDefault="00C6245D">
      <w:pPr>
        <w:spacing w:after="261" w:line="246" w:lineRule="auto"/>
        <w:jc w:val="left"/>
      </w:pPr>
      <w:r>
        <w:rPr>
          <w:b/>
        </w:rPr>
        <w:t xml:space="preserve">La estructura didáctica del cuaderno de trabajo está dada por: </w:t>
      </w:r>
    </w:p>
    <w:p w:rsidR="00B45365" w:rsidRDefault="00C6245D">
      <w:pPr>
        <w:numPr>
          <w:ilvl w:val="0"/>
          <w:numId w:val="2"/>
        </w:numPr>
        <w:ind w:hanging="427"/>
      </w:pPr>
      <w:r>
        <w:t xml:space="preserve">Hoja de presentación. </w:t>
      </w:r>
    </w:p>
    <w:p w:rsidR="00B45365" w:rsidRDefault="00C6245D">
      <w:pPr>
        <w:numPr>
          <w:ilvl w:val="0"/>
          <w:numId w:val="2"/>
        </w:numPr>
        <w:ind w:hanging="427"/>
      </w:pPr>
      <w:r>
        <w:t xml:space="preserve">Prólogo. </w:t>
      </w:r>
    </w:p>
    <w:p w:rsidR="00B45365" w:rsidRDefault="00C6245D">
      <w:pPr>
        <w:numPr>
          <w:ilvl w:val="0"/>
          <w:numId w:val="2"/>
        </w:numPr>
        <w:ind w:hanging="427"/>
      </w:pPr>
      <w:r>
        <w:t xml:space="preserve">Introducción. </w:t>
      </w:r>
    </w:p>
    <w:p w:rsidR="00B45365" w:rsidRDefault="00C6245D">
      <w:pPr>
        <w:numPr>
          <w:ilvl w:val="0"/>
          <w:numId w:val="2"/>
        </w:numPr>
        <w:ind w:hanging="427"/>
      </w:pPr>
      <w:r>
        <w:t xml:space="preserve">Índice. </w:t>
      </w:r>
    </w:p>
    <w:p w:rsidR="00B45365" w:rsidRDefault="00C6245D">
      <w:pPr>
        <w:numPr>
          <w:ilvl w:val="0"/>
          <w:numId w:val="2"/>
        </w:numPr>
        <w:ind w:hanging="427"/>
      </w:pPr>
      <w:r>
        <w:t xml:space="preserve">Desarrollo de cada tema con actividades metodológicas, teóricas y prácticas. </w:t>
      </w:r>
    </w:p>
    <w:p w:rsidR="00B45365" w:rsidRDefault="00C6245D">
      <w:pPr>
        <w:numPr>
          <w:ilvl w:val="0"/>
          <w:numId w:val="2"/>
        </w:numPr>
        <w:ind w:hanging="427"/>
      </w:pPr>
      <w:r>
        <w:t>Bibliografía.</w:t>
      </w:r>
      <w:r>
        <w:rPr>
          <w:b/>
        </w:rPr>
        <w:t xml:space="preserve"> </w:t>
      </w:r>
    </w:p>
    <w:p w:rsidR="00B45365" w:rsidRDefault="00C6245D">
      <w:pPr>
        <w:spacing w:after="261" w:line="246" w:lineRule="auto"/>
        <w:jc w:val="left"/>
      </w:pPr>
      <w:r>
        <w:rPr>
          <w:b/>
        </w:rPr>
        <w:t>Metodología para su utilización:</w:t>
      </w:r>
      <w:r>
        <w:t xml:space="preserve"> </w:t>
      </w:r>
    </w:p>
    <w:p w:rsidR="00B45365" w:rsidRDefault="00C6245D">
      <w:r>
        <w:t xml:space="preserve">El cuaderno de trabajo en cuestión deberá ser utilizado en los tres momentos fundamentales de la clase contemporánea actual.  (Fase inicial, fase de desarrollo y fase final). Además se puede consultar en el espacio interpresencial como  apoyo a la docencia.                    </w:t>
      </w:r>
    </w:p>
    <w:p w:rsidR="00B45365" w:rsidRDefault="00C6245D">
      <w:r>
        <w:t>El cuaderno de trabajo elaborado sirve para desarrollar trabajos independientes, la búsqueda de información técnica sobre las temáticas reflejadas (las cuales están en correspondencia con las temáticas del libro).</w:t>
      </w:r>
      <w:r>
        <w:rPr>
          <w:b/>
        </w:rPr>
        <w:t xml:space="preserve"> </w:t>
      </w:r>
    </w:p>
    <w:p w:rsidR="00B45365" w:rsidRDefault="00C6245D">
      <w:pPr>
        <w:spacing w:after="256" w:line="240" w:lineRule="auto"/>
        <w:ind w:left="0" w:firstLine="0"/>
        <w:jc w:val="left"/>
      </w:pPr>
      <w:r>
        <w:rPr>
          <w:b/>
        </w:rPr>
        <w:t xml:space="preserve"> </w:t>
      </w:r>
    </w:p>
    <w:p w:rsidR="00B45365" w:rsidRDefault="00C6245D">
      <w:pPr>
        <w:spacing w:after="261" w:line="246" w:lineRule="auto"/>
        <w:jc w:val="left"/>
      </w:pPr>
      <w:r>
        <w:rPr>
          <w:b/>
        </w:rPr>
        <w:t>CONCLUSIONES</w:t>
      </w:r>
      <w:r>
        <w:t xml:space="preserve"> </w:t>
      </w:r>
    </w:p>
    <w:p w:rsidR="00B45365" w:rsidRDefault="00C6245D">
      <w:pPr>
        <w:spacing w:after="0"/>
      </w:pPr>
      <w:r>
        <w:t xml:space="preserve">Se constata la necesidad de perfeccionar los medios de enseñanza para la educación agropecuaria desde los niveles primario, secundario y de nivel medio superior en respuesta a las demandas de una sociedad cuya base económica es agrícola,  cuestión que no es ajena a la educación como institución social cuyo encargo es la formación integral de las nuevas generaciones. </w:t>
      </w:r>
    </w:p>
    <w:p w:rsidR="00B45365" w:rsidRDefault="00C6245D">
      <w:r>
        <w:t xml:space="preserve">Se elabora un cuaderno de trabajo en respuesta a las demandas de los planes de estudio relacionada con la educación agropecuaria desde los niveles primario, secundario y de nivel medio superior cuyo objetivo responde a los lineamientos del partido referidos a la conciencia de productor, el rescate de las tradiciones rurales, la sostenibilidad y la labor de extensionismo. </w:t>
      </w:r>
    </w:p>
    <w:p w:rsidR="00B45365" w:rsidRDefault="00C6245D">
      <w:pPr>
        <w:spacing w:after="138"/>
      </w:pPr>
      <w:r>
        <w:t xml:space="preserve">El cuaderno de trabajo se propone introducir en las escuelas pedagógicas, así como en la Licenciatura en educación  especialidad primaria en un primer ciclo investigativo,  para realizar las adecuaciones necesarias y lograr la transformación educativa a que se aspira </w:t>
      </w:r>
    </w:p>
    <w:p w:rsidR="00B45365" w:rsidRDefault="00C6245D">
      <w:r>
        <w:t>.</w:t>
      </w:r>
      <w:r>
        <w:rPr>
          <w:b/>
          <w:sz w:val="22"/>
        </w:rPr>
        <w:t xml:space="preserve"> </w:t>
      </w:r>
    </w:p>
    <w:p w:rsidR="00B45365" w:rsidRDefault="00C6245D">
      <w:pPr>
        <w:pStyle w:val="Ttulo1"/>
      </w:pPr>
      <w:r>
        <w:t>BIBLIOGRAFÍA</w:t>
      </w:r>
      <w:r>
        <w:rPr>
          <w:b w:val="0"/>
        </w:rPr>
        <w:t xml:space="preserve"> </w:t>
      </w:r>
    </w:p>
    <w:p w:rsidR="00B45365" w:rsidRDefault="00C6245D">
      <w:pPr>
        <w:numPr>
          <w:ilvl w:val="0"/>
          <w:numId w:val="3"/>
        </w:numPr>
        <w:spacing w:after="242" w:line="349" w:lineRule="auto"/>
        <w:ind w:hanging="348"/>
        <w:jc w:val="left"/>
      </w:pPr>
      <w:r>
        <w:rPr>
          <w:sz w:val="22"/>
        </w:rPr>
        <w:t>Castro, R. (2009). Informe de la Asamblea Nacional del Poder Popular, el 20 de diciembre. Periódico Granma 21-12- 2009</w:t>
      </w:r>
      <w:r>
        <w:rPr>
          <w:sz w:val="16"/>
        </w:rPr>
        <w:t xml:space="preserve"> </w:t>
      </w:r>
    </w:p>
    <w:p w:rsidR="00B45365" w:rsidRDefault="00C6245D">
      <w:pPr>
        <w:numPr>
          <w:ilvl w:val="0"/>
          <w:numId w:val="3"/>
        </w:numPr>
        <w:spacing w:after="138" w:line="240" w:lineRule="auto"/>
        <w:ind w:hanging="348"/>
        <w:jc w:val="left"/>
      </w:pPr>
      <w:r>
        <w:t xml:space="preserve">Diccionario de la Lengua Española con términos científicos y técnicos. (2008). </w:t>
      </w:r>
    </w:p>
    <w:p w:rsidR="00B45365" w:rsidRDefault="00C6245D">
      <w:pPr>
        <w:spacing w:line="240" w:lineRule="auto"/>
        <w:ind w:left="730"/>
      </w:pPr>
      <w:r>
        <w:t>Colombia. Editorial Panamericana. 437p.</w:t>
      </w:r>
      <w:r>
        <w:rPr>
          <w:sz w:val="22"/>
        </w:rPr>
        <w:t xml:space="preserve"> </w:t>
      </w:r>
    </w:p>
    <w:p w:rsidR="00B45365" w:rsidRDefault="00C6245D">
      <w:pPr>
        <w:numPr>
          <w:ilvl w:val="0"/>
          <w:numId w:val="3"/>
        </w:numPr>
        <w:spacing w:after="124" w:line="240" w:lineRule="auto"/>
        <w:ind w:hanging="348"/>
        <w:jc w:val="left"/>
      </w:pPr>
      <w:r>
        <w:rPr>
          <w:sz w:val="22"/>
        </w:rPr>
        <w:t xml:space="preserve">González, V. (1986).  Teoría y práctica de los medios de enseñanza.  La Habana: </w:t>
      </w:r>
    </w:p>
    <w:p w:rsidR="00B45365" w:rsidRDefault="00C6245D">
      <w:pPr>
        <w:spacing w:after="242" w:line="349" w:lineRule="auto"/>
        <w:ind w:left="720" w:firstLine="0"/>
        <w:jc w:val="left"/>
      </w:pPr>
      <w:r>
        <w:rPr>
          <w:sz w:val="22"/>
        </w:rPr>
        <w:t xml:space="preserve">Editorial Pueblo y Educación. </w:t>
      </w:r>
      <w:r>
        <w:rPr>
          <w:sz w:val="16"/>
        </w:rPr>
        <w:t xml:space="preserve"> </w:t>
      </w:r>
    </w:p>
    <w:p w:rsidR="00B45365" w:rsidRDefault="00C6245D">
      <w:pPr>
        <w:numPr>
          <w:ilvl w:val="0"/>
          <w:numId w:val="3"/>
        </w:numPr>
        <w:spacing w:after="138" w:line="240" w:lineRule="auto"/>
        <w:ind w:hanging="348"/>
        <w:jc w:val="left"/>
      </w:pPr>
      <w:r>
        <w:t xml:space="preserve">Informe del III Congreso del PCC. (1990). La  Habana: Editorial Política.  </w:t>
      </w:r>
    </w:p>
    <w:p w:rsidR="00B45365" w:rsidRDefault="00C6245D">
      <w:pPr>
        <w:ind w:left="730"/>
      </w:pPr>
      <w:r>
        <w:t xml:space="preserve">Departamento de Orientación Revolucionaria. 541p. </w:t>
      </w:r>
    </w:p>
    <w:p w:rsidR="00B45365" w:rsidRDefault="00C6245D">
      <w:pPr>
        <w:numPr>
          <w:ilvl w:val="0"/>
          <w:numId w:val="3"/>
        </w:numPr>
        <w:ind w:hanging="348"/>
        <w:jc w:val="left"/>
      </w:pPr>
      <w:r>
        <w:t>La Educación Agropecuaria en la escuela cubana actual. (2012).Col de autores.</w:t>
      </w:r>
      <w:r>
        <w:rPr>
          <w:sz w:val="22"/>
        </w:rPr>
        <w:t xml:space="preserve"> </w:t>
      </w:r>
    </w:p>
    <w:p w:rsidR="00B45365" w:rsidRDefault="00C6245D">
      <w:pPr>
        <w:numPr>
          <w:ilvl w:val="0"/>
          <w:numId w:val="3"/>
        </w:numPr>
        <w:spacing w:after="242" w:line="349" w:lineRule="auto"/>
        <w:ind w:hanging="348"/>
        <w:jc w:val="left"/>
      </w:pPr>
      <w:r>
        <w:rPr>
          <w:sz w:val="22"/>
        </w:rPr>
        <w:t xml:space="preserve">Lineamientos del VI congreso del Partido Comunista de Cuba de la política económica y social. </w:t>
      </w:r>
    </w:p>
    <w:p w:rsidR="00B45365" w:rsidRDefault="00C6245D">
      <w:pPr>
        <w:numPr>
          <w:ilvl w:val="0"/>
          <w:numId w:val="3"/>
        </w:numPr>
        <w:spacing w:after="242" w:line="349" w:lineRule="auto"/>
        <w:ind w:hanging="348"/>
        <w:jc w:val="left"/>
      </w:pPr>
      <w:r>
        <w:rPr>
          <w:sz w:val="22"/>
        </w:rPr>
        <w:t xml:space="preserve">Martí, J. (1975). Obras Completas. t. 5 y 8  La Habana: Editorial Ciencias Sociales.  </w:t>
      </w:r>
    </w:p>
    <w:p w:rsidR="00B45365" w:rsidRDefault="00C6245D">
      <w:pPr>
        <w:numPr>
          <w:ilvl w:val="0"/>
          <w:numId w:val="3"/>
        </w:numPr>
        <w:spacing w:after="242" w:line="349" w:lineRule="auto"/>
        <w:ind w:hanging="348"/>
        <w:jc w:val="left"/>
      </w:pPr>
      <w:r>
        <w:rPr>
          <w:sz w:val="22"/>
        </w:rPr>
        <w:t xml:space="preserve">Mukin, A. (1992). Tendencias modernas de la utilización de los medios de enseñanza en el proceso docente educativo.  La Habana: ISCP.  </w:t>
      </w:r>
    </w:p>
    <w:p w:rsidR="00B45365" w:rsidRDefault="00C6245D">
      <w:pPr>
        <w:numPr>
          <w:ilvl w:val="0"/>
          <w:numId w:val="3"/>
        </w:numPr>
        <w:spacing w:after="242" w:line="349" w:lineRule="auto"/>
        <w:ind w:hanging="348"/>
        <w:jc w:val="left"/>
      </w:pPr>
      <w:r>
        <w:rPr>
          <w:sz w:val="22"/>
        </w:rPr>
        <w:t xml:space="preserve">Nocedo, I. (1989). .Metodología de la Investigación pedagógica y psicológica. Primera Parte.  La Habana: Editorial Pueblo y Educación. </w:t>
      </w:r>
    </w:p>
    <w:p w:rsidR="00B45365" w:rsidRDefault="00C6245D">
      <w:pPr>
        <w:spacing w:after="245" w:line="240" w:lineRule="auto"/>
        <w:ind w:left="360" w:firstLine="0"/>
        <w:jc w:val="left"/>
      </w:pPr>
      <w:r>
        <w:rPr>
          <w:sz w:val="22"/>
        </w:rPr>
        <w:t xml:space="preserve"> </w:t>
      </w:r>
    </w:p>
    <w:p w:rsidR="00B45365" w:rsidRDefault="00C6245D">
      <w:pPr>
        <w:spacing w:after="255" w:line="240" w:lineRule="auto"/>
        <w:ind w:left="0" w:firstLine="0"/>
        <w:jc w:val="left"/>
      </w:pPr>
      <w:r>
        <w:t xml:space="preserve"> </w:t>
      </w:r>
    </w:p>
    <w:p w:rsidR="00B45365" w:rsidRDefault="00C6245D">
      <w:pPr>
        <w:spacing w:after="260" w:line="240" w:lineRule="auto"/>
        <w:ind w:left="0" w:firstLine="0"/>
        <w:jc w:val="left"/>
      </w:pPr>
      <w:r>
        <w:t xml:space="preserve"> </w:t>
      </w:r>
    </w:p>
    <w:p w:rsidR="00B45365" w:rsidRDefault="00C6245D">
      <w:pPr>
        <w:spacing w:after="0" w:line="240" w:lineRule="auto"/>
        <w:ind w:left="0" w:firstLine="0"/>
        <w:jc w:val="left"/>
      </w:pPr>
      <w:r>
        <w:rPr>
          <w:b/>
          <w:sz w:val="22"/>
        </w:rPr>
        <w:t xml:space="preserve"> </w:t>
      </w:r>
    </w:p>
    <w:sectPr w:rsidR="00B45365">
      <w:headerReference w:type="even" r:id="rId7"/>
      <w:headerReference w:type="default" r:id="rId8"/>
      <w:headerReference w:type="first" r:id="rId9"/>
      <w:pgSz w:w="11906" w:h="16838"/>
      <w:pgMar w:top="1420" w:right="1697" w:bottom="1597" w:left="170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308F" w:rsidRDefault="0024308F">
      <w:pPr>
        <w:spacing w:after="0" w:line="240" w:lineRule="auto"/>
      </w:pPr>
      <w:r>
        <w:separator/>
      </w:r>
    </w:p>
  </w:endnote>
  <w:endnote w:type="continuationSeparator" w:id="0">
    <w:p w:rsidR="0024308F" w:rsidRDefault="002430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roman"/>
    <w:notTrueType/>
    <w:pitch w:val="default"/>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308F" w:rsidRDefault="0024308F">
      <w:pPr>
        <w:spacing w:after="0" w:line="240" w:lineRule="auto"/>
      </w:pPr>
      <w:r>
        <w:separator/>
      </w:r>
    </w:p>
  </w:footnote>
  <w:footnote w:type="continuationSeparator" w:id="0">
    <w:p w:rsidR="0024308F" w:rsidRDefault="002430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5365" w:rsidRDefault="00C6245D">
    <w:r>
      <w:rPr>
        <w:rFonts w:ascii="Calibri" w:eastAsia="Calibri" w:hAnsi="Calibri" w:cs="Calibri"/>
        <w:noProof/>
        <w:sz w:val="22"/>
        <w:lang w:val="es-ES" w:eastAsia="es-ES"/>
      </w:rPr>
      <mc:AlternateContent>
        <mc:Choice Requires="wpg">
          <w:drawing>
            <wp:anchor distT="0" distB="0" distL="114300" distR="114300" simplePos="0" relativeHeight="251658240" behindDoc="1" locked="0" layoutInCell="1" allowOverlap="1">
              <wp:simplePos x="0" y="0"/>
              <wp:positionH relativeFrom="page">
                <wp:posOffset>0</wp:posOffset>
              </wp:positionH>
              <wp:positionV relativeFrom="page">
                <wp:posOffset>0</wp:posOffset>
              </wp:positionV>
              <wp:extent cx="7560564" cy="10692384"/>
              <wp:effectExtent l="0" t="0" r="0" b="0"/>
              <wp:wrapNone/>
              <wp:docPr id="4516" name="Group 4516"/>
              <wp:cNvGraphicFramePr/>
              <a:graphic xmlns:a="http://schemas.openxmlformats.org/drawingml/2006/main">
                <a:graphicData uri="http://schemas.microsoft.com/office/word/2010/wordprocessingGroup">
                  <wpg:wgp>
                    <wpg:cNvGrpSpPr/>
                    <wpg:grpSpPr>
                      <a:xfrm>
                        <a:off x="0" y="0"/>
                        <a:ext cx="7560564" cy="10692384"/>
                        <a:chOff x="0" y="0"/>
                        <a:chExt cx="7560564" cy="10692384"/>
                      </a:xfrm>
                    </wpg:grpSpPr>
                    <wps:wsp>
                      <wps:cNvPr id="4611" name="Shape 4611"/>
                      <wps:cNvSpPr/>
                      <wps:spPr>
                        <a:xfrm>
                          <a:off x="0" y="0"/>
                          <a:ext cx="7560564" cy="10692384"/>
                        </a:xfrm>
                        <a:custGeom>
                          <a:avLst/>
                          <a:gdLst/>
                          <a:ahLst/>
                          <a:cxnLst/>
                          <a:rect l="0" t="0" r="0" b="0"/>
                          <a:pathLst>
                            <a:path w="7560564" h="10692384">
                              <a:moveTo>
                                <a:pt x="0" y="0"/>
                              </a:moveTo>
                              <a:lnTo>
                                <a:pt x="7560564" y="0"/>
                              </a:lnTo>
                              <a:lnTo>
                                <a:pt x="7560564" y="10692384"/>
                              </a:lnTo>
                              <a:lnTo>
                                <a:pt x="0" y="10692384"/>
                              </a:lnTo>
                              <a:lnTo>
                                <a:pt x="0" y="0"/>
                              </a:lnTo>
                            </a:path>
                          </a:pathLst>
                        </a:custGeom>
                        <a:ln w="0" cap="flat">
                          <a:miter lim="127000"/>
                        </a:ln>
                      </wps:spPr>
                      <wps:style>
                        <a:lnRef idx="0">
                          <a:srgbClr val="000000"/>
                        </a:lnRef>
                        <a:fillRef idx="1">
                          <a:srgbClr val="FFFFFF"/>
                        </a:fillRef>
                        <a:effectRef idx="0">
                          <a:scrgbClr r="0" g="0" b="0"/>
                        </a:effectRef>
                        <a:fontRef idx="none"/>
                      </wps:style>
                      <wps:bodyPr/>
                    </wps:wsp>
                  </wpg:wgp>
                </a:graphicData>
              </a:graphic>
            </wp:anchor>
          </w:drawing>
        </mc:Choice>
        <mc:Fallback>
          <w:pict>
            <v:group w14:anchorId="6E788DB8" id="Group 4516" o:spid="_x0000_s1026" style="position:absolute;margin-left:0;margin-top:0;width:595.3pt;height:841.9pt;z-index:-251658240;mso-position-horizontal-relative:page;mso-position-vertical-relative:page" coordsize="75605,1069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">
              <v:shape id="Shape 4611" o:spid="_x0000_s1027" style="position:absolute;width:75605;height:106923;visibility:visible;mso-wrap-style:square;v-text-anchor:top" coordsize="7560564,10692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W9JcMA&#10;AADdAAAADwAAAGRycy9kb3ducmV2LnhtbESPzWrDMBCE74W8g9hAbo3sEkxwo4QSSMkpkJ9De1uk&#10;re3GWhlr4zhvXxUKPQ4z3wyz2oy+VQP1sQlsIJ9noIhtcA1XBi7n3fMSVBRkh21gMvCgCJv15GmF&#10;pQt3PtJwkkqlEo4lGqhFulLraGvyGOehI07eV+g9SpJ9pV2P91TuW/2SZYX22HBaqLGjbU32erp5&#10;A8tYYD7oj8P38fppEyPvlsWY2XR8ewUlNMp/+I/eOwOLIs/h9016Anr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W9JcMAAADdAAAADwAAAAAAAAAAAAAAAACYAgAAZHJzL2Rv&#10;d25yZXYueG1sUEsFBgAAAAAEAAQA9QAAAIgDAAAAAA==&#10;" path="m,l7560564,r,10692384l,10692384,,e" stroked="f" strokeweight="0">
                <v:stroke miterlimit="83231f" joinstyle="miter"/>
                <v:path arrowok="t" textboxrect="0,0,7560564,10692384"/>
              </v:shape>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5365" w:rsidRDefault="00C6245D">
    <w:r>
      <w:rPr>
        <w:rFonts w:ascii="Calibri" w:eastAsia="Calibri" w:hAnsi="Calibri" w:cs="Calibri"/>
        <w:noProof/>
        <w:sz w:val="22"/>
        <w:lang w:val="es-ES" w:eastAsia="es-ES"/>
      </w:rPr>
      <mc:AlternateContent>
        <mc:Choice Requires="wpg">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7560564" cy="10692384"/>
              <wp:effectExtent l="0" t="0" r="0" b="0"/>
              <wp:wrapNone/>
              <wp:docPr id="4513" name="Group 4513"/>
              <wp:cNvGraphicFramePr/>
              <a:graphic xmlns:a="http://schemas.openxmlformats.org/drawingml/2006/main">
                <a:graphicData uri="http://schemas.microsoft.com/office/word/2010/wordprocessingGroup">
                  <wpg:wgp>
                    <wpg:cNvGrpSpPr/>
                    <wpg:grpSpPr>
                      <a:xfrm>
                        <a:off x="0" y="0"/>
                        <a:ext cx="7560564" cy="10692384"/>
                        <a:chOff x="0" y="0"/>
                        <a:chExt cx="7560564" cy="10692384"/>
                      </a:xfrm>
                    </wpg:grpSpPr>
                    <wps:wsp>
                      <wps:cNvPr id="4610" name="Shape 4610"/>
                      <wps:cNvSpPr/>
                      <wps:spPr>
                        <a:xfrm>
                          <a:off x="0" y="0"/>
                          <a:ext cx="7560564" cy="10692384"/>
                        </a:xfrm>
                        <a:custGeom>
                          <a:avLst/>
                          <a:gdLst/>
                          <a:ahLst/>
                          <a:cxnLst/>
                          <a:rect l="0" t="0" r="0" b="0"/>
                          <a:pathLst>
                            <a:path w="7560564" h="10692384">
                              <a:moveTo>
                                <a:pt x="0" y="0"/>
                              </a:moveTo>
                              <a:lnTo>
                                <a:pt x="7560564" y="0"/>
                              </a:lnTo>
                              <a:lnTo>
                                <a:pt x="7560564" y="10692384"/>
                              </a:lnTo>
                              <a:lnTo>
                                <a:pt x="0" y="10692384"/>
                              </a:lnTo>
                              <a:lnTo>
                                <a:pt x="0" y="0"/>
                              </a:lnTo>
                            </a:path>
                          </a:pathLst>
                        </a:custGeom>
                        <a:ln w="0" cap="flat">
                          <a:miter lim="127000"/>
                        </a:ln>
                      </wps:spPr>
                      <wps:style>
                        <a:lnRef idx="0">
                          <a:srgbClr val="000000"/>
                        </a:lnRef>
                        <a:fillRef idx="1">
                          <a:srgbClr val="FFFFFF"/>
                        </a:fillRef>
                        <a:effectRef idx="0">
                          <a:scrgbClr r="0" g="0" b="0"/>
                        </a:effectRef>
                        <a:fontRef idx="none"/>
                      </wps:style>
                      <wps:bodyPr/>
                    </wps:wsp>
                  </wpg:wgp>
                </a:graphicData>
              </a:graphic>
            </wp:anchor>
          </w:drawing>
        </mc:Choice>
        <mc:Fallback>
          <w:pict>
            <v:group w14:anchorId="0C19D19B" id="Group 4513" o:spid="_x0000_s1026" style="position:absolute;margin-left:0;margin-top:0;width:595.3pt;height:841.9pt;z-index:-251657216;mso-position-horizontal-relative:page;mso-position-vertical-relative:page" coordsize="75605,1069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">
              <v:shape id="Shape 4610" o:spid="_x0000_s1027" style="position:absolute;width:75605;height:106923;visibility:visible;mso-wrap-style:square;v-text-anchor:top" coordsize="7560564,10692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kYvsAA&#10;AADdAAAADwAAAGRycy9kb3ducmV2LnhtbERPTUvDQBC9C/0PyxS82U1EQkm7LSIonoRWD+1t2B2T&#10;2OxsyI5p/PfOQfD4eN/b/Rx7M9GYu8QOylUBhtin0HHj4OP9+W4NJgtywD4xOfihDPvd4maLdUhX&#10;PtB0lMZoCOcaHbQiQ21t9i1FzKs0ECv3mcaIonBsbBjxquGxt/dFUdmIHWtDiwM9teQvx+/oYJ0r&#10;LCd7evs6XM5ePfLiWZy7Xc6PGzBCs/yL/9yvwcFDVep+faNPwO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xkYvsAAAADdAAAADwAAAAAAAAAAAAAAAACYAgAAZHJzL2Rvd25y&#10;ZXYueG1sUEsFBgAAAAAEAAQA9QAAAIUDAAAAAA==&#10;" path="m,l7560564,r,10692384l,10692384,,e" stroked="f" strokeweight="0">
                <v:stroke miterlimit="83231f" joinstyle="miter"/>
                <v:path arrowok="t" textboxrect="0,0,7560564,10692384"/>
              </v:shape>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5365" w:rsidRDefault="00C6245D">
    <w:r>
      <w:rPr>
        <w:rFonts w:ascii="Calibri" w:eastAsia="Calibri" w:hAnsi="Calibri" w:cs="Calibri"/>
        <w:noProof/>
        <w:sz w:val="22"/>
        <w:lang w:val="es-ES" w:eastAsia="es-ES"/>
      </w:rPr>
      <mc:AlternateContent>
        <mc:Choice Requires="wpg">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7560564" cy="10692384"/>
              <wp:effectExtent l="0" t="0" r="0" b="0"/>
              <wp:wrapNone/>
              <wp:docPr id="4510" name="Group 4510"/>
              <wp:cNvGraphicFramePr/>
              <a:graphic xmlns:a="http://schemas.openxmlformats.org/drawingml/2006/main">
                <a:graphicData uri="http://schemas.microsoft.com/office/word/2010/wordprocessingGroup">
                  <wpg:wgp>
                    <wpg:cNvGrpSpPr/>
                    <wpg:grpSpPr>
                      <a:xfrm>
                        <a:off x="0" y="0"/>
                        <a:ext cx="7560564" cy="10692384"/>
                        <a:chOff x="0" y="0"/>
                        <a:chExt cx="7560564" cy="10692384"/>
                      </a:xfrm>
                    </wpg:grpSpPr>
                    <wps:wsp>
                      <wps:cNvPr id="4609" name="Shape 4609"/>
                      <wps:cNvSpPr/>
                      <wps:spPr>
                        <a:xfrm>
                          <a:off x="0" y="0"/>
                          <a:ext cx="7560564" cy="10692384"/>
                        </a:xfrm>
                        <a:custGeom>
                          <a:avLst/>
                          <a:gdLst/>
                          <a:ahLst/>
                          <a:cxnLst/>
                          <a:rect l="0" t="0" r="0" b="0"/>
                          <a:pathLst>
                            <a:path w="7560564" h="10692384">
                              <a:moveTo>
                                <a:pt x="0" y="0"/>
                              </a:moveTo>
                              <a:lnTo>
                                <a:pt x="7560564" y="0"/>
                              </a:lnTo>
                              <a:lnTo>
                                <a:pt x="7560564" y="10692384"/>
                              </a:lnTo>
                              <a:lnTo>
                                <a:pt x="0" y="10692384"/>
                              </a:lnTo>
                              <a:lnTo>
                                <a:pt x="0" y="0"/>
                              </a:lnTo>
                            </a:path>
                          </a:pathLst>
                        </a:custGeom>
                        <a:ln w="0" cap="flat">
                          <a:miter lim="127000"/>
                        </a:ln>
                      </wps:spPr>
                      <wps:style>
                        <a:lnRef idx="0">
                          <a:srgbClr val="000000"/>
                        </a:lnRef>
                        <a:fillRef idx="1">
                          <a:srgbClr val="FFFFFF"/>
                        </a:fillRef>
                        <a:effectRef idx="0">
                          <a:scrgbClr r="0" g="0" b="0"/>
                        </a:effectRef>
                        <a:fontRef idx="none"/>
                      </wps:style>
                      <wps:bodyPr/>
                    </wps:wsp>
                  </wpg:wgp>
                </a:graphicData>
              </a:graphic>
            </wp:anchor>
          </w:drawing>
        </mc:Choice>
        <mc:Fallback>
          <w:pict>
            <v:group w14:anchorId="1D3E59AC" id="Group 4510" o:spid="_x0000_s1026" style="position:absolute;margin-left:0;margin-top:0;width:595.3pt;height:841.9pt;z-index:-251656192;mso-position-horizontal-relative:page;mso-position-vertical-relative:page" coordsize="75605,1069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">
              <v:shape id="Shape 4609" o:spid="_x0000_s1027" style="position:absolute;width:75605;height:106923;visibility:visible;mso-wrap-style:square;v-text-anchor:top" coordsize="7560564,10692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n/sQA&#10;AADdAAAADwAAAGRycy9kb3ducmV2LnhtbESPT2vCQBTE7wW/w/KE3urGIkFTVxGhxZPgn4O9PXZf&#10;k9Ts25B9jem3dwsFj8PMb4ZZrgffqJ66WAc2MJ1koIhtcDWXBs6n95c5qCjIDpvAZOCXIqxXo6cl&#10;Fi7c+ED9UUqVSjgWaKASaQuto63IY5yEljh5X6HzKEl2pXYd3lK5b/RrluXaY81pocKWthXZ6/HH&#10;G5jHHKe9vuy/D9dPmxj5sCzGPI+HzRsooUEe4X965wzM8mwBf2/SE9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J/7EAAAA3QAAAA8AAAAAAAAAAAAAAAAAmAIAAGRycy9k&#10;b3ducmV2LnhtbFBLBQYAAAAABAAEAPUAAACJAwAAAAA=&#10;" path="m,l7560564,r,10692384l,10692384,,e" stroked="f" strokeweight="0">
                <v:stroke miterlimit="83231f" joinstyle="miter"/>
                <v:path arrowok="t" textboxrect="0,0,7560564,10692384"/>
              </v:shape>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E86CD0"/>
    <w:multiLevelType w:val="hybridMultilevel"/>
    <w:tmpl w:val="821CCB9C"/>
    <w:lvl w:ilvl="0" w:tplc="B77493AE">
      <w:start w:val="1"/>
      <w:numFmt w:val="bullet"/>
      <w:lvlText w:val="•"/>
      <w:lvlJc w:val="left"/>
      <w:pPr>
        <w:ind w:left="360"/>
      </w:pPr>
      <w:rPr>
        <w:rFonts w:ascii="Arial" w:eastAsia="Arial" w:hAnsi="Arial" w:cs="Arial"/>
        <w:b w:val="0"/>
        <w:i w:val="0"/>
        <w:strike w:val="0"/>
        <w:dstrike w:val="0"/>
        <w:color w:val="000000"/>
        <w:sz w:val="22"/>
        <w:u w:val="none" w:color="000000"/>
        <w:bdr w:val="none" w:sz="0" w:space="0" w:color="auto"/>
        <w:shd w:val="clear" w:color="auto" w:fill="auto"/>
        <w:vertAlign w:val="baseline"/>
      </w:rPr>
    </w:lvl>
    <w:lvl w:ilvl="1" w:tplc="E83E27E0">
      <w:start w:val="1"/>
      <w:numFmt w:val="bullet"/>
      <w:lvlText w:val="o"/>
      <w:lvlJc w:val="left"/>
      <w:pPr>
        <w:ind w:left="1080"/>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2" w:tplc="3AF2BDB8">
      <w:start w:val="1"/>
      <w:numFmt w:val="bullet"/>
      <w:lvlText w:val="▪"/>
      <w:lvlJc w:val="left"/>
      <w:pPr>
        <w:ind w:left="1800"/>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3" w:tplc="F17478A6">
      <w:start w:val="1"/>
      <w:numFmt w:val="bullet"/>
      <w:lvlText w:val="•"/>
      <w:lvlJc w:val="left"/>
      <w:pPr>
        <w:ind w:left="2520"/>
      </w:pPr>
      <w:rPr>
        <w:rFonts w:ascii="Arial" w:eastAsia="Arial" w:hAnsi="Arial" w:cs="Arial"/>
        <w:b w:val="0"/>
        <w:i w:val="0"/>
        <w:strike w:val="0"/>
        <w:dstrike w:val="0"/>
        <w:color w:val="000000"/>
        <w:sz w:val="22"/>
        <w:u w:val="none" w:color="000000"/>
        <w:bdr w:val="none" w:sz="0" w:space="0" w:color="auto"/>
        <w:shd w:val="clear" w:color="auto" w:fill="auto"/>
        <w:vertAlign w:val="baseline"/>
      </w:rPr>
    </w:lvl>
    <w:lvl w:ilvl="4" w:tplc="FC6C3E92">
      <w:start w:val="1"/>
      <w:numFmt w:val="bullet"/>
      <w:lvlText w:val="o"/>
      <w:lvlJc w:val="left"/>
      <w:pPr>
        <w:ind w:left="3240"/>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5" w:tplc="F0766F0E">
      <w:start w:val="1"/>
      <w:numFmt w:val="bullet"/>
      <w:lvlText w:val="▪"/>
      <w:lvlJc w:val="left"/>
      <w:pPr>
        <w:ind w:left="3960"/>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6" w:tplc="097673DC">
      <w:start w:val="1"/>
      <w:numFmt w:val="bullet"/>
      <w:lvlText w:val="•"/>
      <w:lvlJc w:val="left"/>
      <w:pPr>
        <w:ind w:left="4680"/>
      </w:pPr>
      <w:rPr>
        <w:rFonts w:ascii="Arial" w:eastAsia="Arial" w:hAnsi="Arial" w:cs="Arial"/>
        <w:b w:val="0"/>
        <w:i w:val="0"/>
        <w:strike w:val="0"/>
        <w:dstrike w:val="0"/>
        <w:color w:val="000000"/>
        <w:sz w:val="22"/>
        <w:u w:val="none" w:color="000000"/>
        <w:bdr w:val="none" w:sz="0" w:space="0" w:color="auto"/>
        <w:shd w:val="clear" w:color="auto" w:fill="auto"/>
        <w:vertAlign w:val="baseline"/>
      </w:rPr>
    </w:lvl>
    <w:lvl w:ilvl="7" w:tplc="4328D99C">
      <w:start w:val="1"/>
      <w:numFmt w:val="bullet"/>
      <w:lvlText w:val="o"/>
      <w:lvlJc w:val="left"/>
      <w:pPr>
        <w:ind w:left="5400"/>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lvl w:ilvl="8" w:tplc="B3149A4E">
      <w:start w:val="1"/>
      <w:numFmt w:val="bullet"/>
      <w:lvlText w:val="▪"/>
      <w:lvlJc w:val="left"/>
      <w:pPr>
        <w:ind w:left="6120"/>
      </w:pPr>
      <w:rPr>
        <w:rFonts w:ascii="Segoe UI Symbol" w:eastAsia="Segoe UI Symbol" w:hAnsi="Segoe UI Symbol" w:cs="Segoe UI Symbol"/>
        <w:b w:val="0"/>
        <w:i w:val="0"/>
        <w:strike w:val="0"/>
        <w:dstrike w:val="0"/>
        <w:color w:val="000000"/>
        <w:sz w:val="22"/>
        <w:u w:val="none" w:color="000000"/>
        <w:bdr w:val="none" w:sz="0" w:space="0" w:color="auto"/>
        <w:shd w:val="clear" w:color="auto" w:fill="auto"/>
        <w:vertAlign w:val="baseline"/>
      </w:rPr>
    </w:lvl>
  </w:abstractNum>
  <w:abstractNum w:abstractNumId="1">
    <w:nsid w:val="0C776ABF"/>
    <w:multiLevelType w:val="hybridMultilevel"/>
    <w:tmpl w:val="011CD944"/>
    <w:lvl w:ilvl="0" w:tplc="B8FAF612">
      <w:start w:val="1"/>
      <w:numFmt w:val="bullet"/>
      <w:lvlText w:val="•"/>
      <w:lvlJc w:val="left"/>
      <w:pPr>
        <w:ind w:left="78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AD7CDA8C">
      <w:start w:val="1"/>
      <w:numFmt w:val="bullet"/>
      <w:lvlText w:val="o"/>
      <w:lvlJc w:val="left"/>
      <w:pPr>
        <w:ind w:left="14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B09E3432">
      <w:start w:val="1"/>
      <w:numFmt w:val="bullet"/>
      <w:lvlText w:val="▪"/>
      <w:lvlJc w:val="left"/>
      <w:pPr>
        <w:ind w:left="21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F20068FE">
      <w:start w:val="1"/>
      <w:numFmt w:val="bullet"/>
      <w:lvlText w:val="•"/>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4CF81C52">
      <w:start w:val="1"/>
      <w:numFmt w:val="bullet"/>
      <w:lvlText w:val="o"/>
      <w:lvlJc w:val="left"/>
      <w:pPr>
        <w:ind w:left="36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CF9C3486">
      <w:start w:val="1"/>
      <w:numFmt w:val="bullet"/>
      <w:lvlText w:val="▪"/>
      <w:lvlJc w:val="left"/>
      <w:pPr>
        <w:ind w:left="43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787EDC56">
      <w:start w:val="1"/>
      <w:numFmt w:val="bullet"/>
      <w:lvlText w:val="•"/>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7FD8E50A">
      <w:start w:val="1"/>
      <w:numFmt w:val="bullet"/>
      <w:lvlText w:val="o"/>
      <w:lvlJc w:val="left"/>
      <w:pPr>
        <w:ind w:left="57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588EAFF6">
      <w:start w:val="1"/>
      <w:numFmt w:val="bullet"/>
      <w:lvlText w:val="▪"/>
      <w:lvlJc w:val="left"/>
      <w:pPr>
        <w:ind w:left="64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2">
    <w:nsid w:val="75D2486A"/>
    <w:multiLevelType w:val="hybridMultilevel"/>
    <w:tmpl w:val="B900C324"/>
    <w:lvl w:ilvl="0" w:tplc="D2B2A59E">
      <w:start w:val="1"/>
      <w:numFmt w:val="decimal"/>
      <w:lvlText w:val="%1."/>
      <w:lvlJc w:val="left"/>
      <w:pPr>
        <w:ind w:left="693"/>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1" w:tplc="4396464C">
      <w:start w:val="1"/>
      <w:numFmt w:val="lowerLetter"/>
      <w:lvlText w:val="%2"/>
      <w:lvlJc w:val="left"/>
      <w:pPr>
        <w:ind w:left="142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2" w:tplc="2FFAF8F6">
      <w:start w:val="1"/>
      <w:numFmt w:val="lowerRoman"/>
      <w:lvlText w:val="%3"/>
      <w:lvlJc w:val="left"/>
      <w:pPr>
        <w:ind w:left="214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3" w:tplc="A25C2BBA">
      <w:start w:val="1"/>
      <w:numFmt w:val="decimal"/>
      <w:lvlText w:val="%4"/>
      <w:lvlJc w:val="left"/>
      <w:pPr>
        <w:ind w:left="286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4" w:tplc="CD0019F4">
      <w:start w:val="1"/>
      <w:numFmt w:val="lowerLetter"/>
      <w:lvlText w:val="%5"/>
      <w:lvlJc w:val="left"/>
      <w:pPr>
        <w:ind w:left="358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5" w:tplc="F56A9426">
      <w:start w:val="1"/>
      <w:numFmt w:val="lowerRoman"/>
      <w:lvlText w:val="%6"/>
      <w:lvlJc w:val="left"/>
      <w:pPr>
        <w:ind w:left="430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6" w:tplc="EDEC2AC4">
      <w:start w:val="1"/>
      <w:numFmt w:val="decimal"/>
      <w:lvlText w:val="%7"/>
      <w:lvlJc w:val="left"/>
      <w:pPr>
        <w:ind w:left="502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7" w:tplc="F3A6D2E8">
      <w:start w:val="1"/>
      <w:numFmt w:val="lowerLetter"/>
      <w:lvlText w:val="%8"/>
      <w:lvlJc w:val="left"/>
      <w:pPr>
        <w:ind w:left="574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8" w:tplc="9596403A">
      <w:start w:val="1"/>
      <w:numFmt w:val="lowerRoman"/>
      <w:lvlText w:val="%9"/>
      <w:lvlJc w:val="left"/>
      <w:pPr>
        <w:ind w:left="646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365"/>
    <w:rsid w:val="0024308F"/>
    <w:rsid w:val="00322157"/>
    <w:rsid w:val="007912BB"/>
    <w:rsid w:val="00B45365"/>
    <w:rsid w:val="00C6245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7638ED-6EE1-46BE-8CE4-91EB524A7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63" w:line="347" w:lineRule="auto"/>
      <w:ind w:left="-5" w:hanging="10"/>
      <w:jc w:val="both"/>
    </w:pPr>
    <w:rPr>
      <w:rFonts w:ascii="Times New Roman" w:eastAsia="Times New Roman" w:hAnsi="Times New Roman" w:cs="Times New Roman"/>
      <w:color w:val="000000"/>
      <w:sz w:val="24"/>
    </w:rPr>
  </w:style>
  <w:style w:type="paragraph" w:styleId="Ttulo1">
    <w:name w:val="heading 1"/>
    <w:next w:val="Normal"/>
    <w:link w:val="Ttulo1Car"/>
    <w:uiPriority w:val="9"/>
    <w:unhideWhenUsed/>
    <w:qFormat/>
    <w:pPr>
      <w:keepNext/>
      <w:keepLines/>
      <w:spacing w:after="238" w:line="299" w:lineRule="auto"/>
      <w:ind w:left="-5" w:right="-15" w:hanging="10"/>
      <w:outlineLvl w:val="0"/>
    </w:pPr>
    <w:rPr>
      <w:rFonts w:ascii="Times New Roman" w:eastAsia="Times New Roman" w:hAnsi="Times New Roman" w:cs="Times New Roman"/>
      <w:b/>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Times New Roman" w:eastAsia="Times New Roman" w:hAnsi="Times New Roman" w:cs="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2237</Words>
  <Characters>12305</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c:creator>
  <cp:keywords/>
  <cp:lastModifiedBy>Marianela F Sibat Delgado</cp:lastModifiedBy>
  <cp:revision>2</cp:revision>
  <dcterms:created xsi:type="dcterms:W3CDTF">2019-11-13T01:58:00Z</dcterms:created>
  <dcterms:modified xsi:type="dcterms:W3CDTF">2019-11-13T01:58:00Z</dcterms:modified>
</cp:coreProperties>
</file>